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08B" w:rsidRPr="009D3403" w:rsidRDefault="0044208B" w:rsidP="009D3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Республикасы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Төтенше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жағдайлар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министрлігі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материалдық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резервтер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комитетінің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Резерв</w:t>
      </w:r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шаруашылық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жүргізу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құқығындағы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республикалық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кәсіпорнының</w:t>
      </w:r>
      <w:proofErr w:type="spellEnd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D3403">
        <w:rPr>
          <w:rFonts w:ascii="Times New Roman" w:hAnsi="Times New Roman" w:cs="Times New Roman"/>
          <w:b/>
          <w:sz w:val="24"/>
          <w:szCs w:val="24"/>
          <w:lang w:val="ru-RU"/>
        </w:rPr>
        <w:t>«Стрела»</w:t>
      </w: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филиалы</w:t>
      </w:r>
      <w:r w:rsidR="00A56BF1">
        <w:rPr>
          <w:rFonts w:ascii="Times New Roman" w:hAnsi="Times New Roman" w:cs="Times New Roman"/>
          <w:b/>
          <w:sz w:val="24"/>
          <w:szCs w:val="24"/>
          <w:lang w:val="ru-RU"/>
        </w:rPr>
        <w:t>ның</w:t>
      </w:r>
      <w:proofErr w:type="spellEnd"/>
    </w:p>
    <w:p w:rsidR="009D3403" w:rsidRPr="009D3403" w:rsidRDefault="009D3403" w:rsidP="009D3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3403">
        <w:rPr>
          <w:rFonts w:ascii="Times New Roman" w:hAnsi="Times New Roman" w:cs="Times New Roman"/>
          <w:b/>
          <w:sz w:val="24"/>
          <w:szCs w:val="24"/>
          <w:lang w:val="ru-RU"/>
        </w:rPr>
        <w:t>БОС ЖҰМЫС ОРЫНДАРЫ ТУРАЛЫ АҚПАРАТ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Жетісу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облысы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Қаратал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ауданы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Бастөбе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ауылы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, 050</w:t>
      </w:r>
      <w:r w:rsidR="00E30D44">
        <w:rPr>
          <w:rFonts w:ascii="Times New Roman" w:hAnsi="Times New Roman" w:cs="Times New Roman"/>
          <w:b/>
          <w:sz w:val="24"/>
          <w:szCs w:val="24"/>
          <w:lang w:val="ru-RU"/>
        </w:rPr>
        <w:t>-е</w:t>
      </w: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септік </w:t>
      </w:r>
      <w:proofErr w:type="spellStart"/>
      <w:r w:rsidR="00E30D44">
        <w:rPr>
          <w:rFonts w:ascii="Times New Roman" w:hAnsi="Times New Roman" w:cs="Times New Roman"/>
          <w:b/>
          <w:sz w:val="24"/>
          <w:szCs w:val="24"/>
          <w:lang w:val="ru-RU"/>
        </w:rPr>
        <w:t>орам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41-құрылыс</w:t>
      </w: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6BF1" w:rsidRPr="00A56BF1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Абжанова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Мадина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Керімбекқызы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44208B" w:rsidRPr="00A56BF1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8/72834/3-47-41,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>вн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115</w:t>
      </w: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9D3403" w:rsidRDefault="0044208B" w:rsidP="009D34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D34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Энергетик - 1 </w:t>
      </w:r>
      <w:proofErr w:type="spellStart"/>
      <w:r w:rsidRPr="009D34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9D3403" w:rsidRPr="009D3403" w:rsidRDefault="009D3403" w:rsidP="009D3403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E30D44" w:rsidRPr="0058172A" w:rsidTr="00E30D44">
        <w:trPr>
          <w:trHeight w:val="70"/>
        </w:trPr>
        <w:tc>
          <w:tcPr>
            <w:tcW w:w="2268" w:type="dxa"/>
          </w:tcPr>
          <w:p w:rsidR="00E30D44" w:rsidRPr="0014078E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E30D44" w:rsidRPr="0058172A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79327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E30D44" w:rsidRPr="00BA1BFD" w:rsidRDefault="00E30D44" w:rsidP="00E30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4208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күзет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энергетика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сипаттамаларын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режимдерінің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конструктивтік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ерекшеліктерін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жоспарлы-алдын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технологиясын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баптау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энергия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ресурстарына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жабдыққа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материалдарға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бөлшектерге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құралдарға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өтінімдер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абдықтарды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жөндеуге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әсіпорын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өнімдерін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технологиясының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экономика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кезіндегі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0D44" w:rsidRPr="00FA4DC9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желілерінің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газ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үздіксіз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пайдаланылуын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жөнделуін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жаңғыртылуын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отын-энергетикалық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ресурстарға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қажеттілігін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айқындау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жарақтандырудың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энергия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энергиямен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реконструкциялау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жаңғыртудың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негіздемелерін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бөлімшелерінің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қажеттілігін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үнемдеу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негіздемелерімен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есептеулерді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қажеттіліктерін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бөлімшелерінің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шығыны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жүктемелері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сағаттарында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жүктемелерін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бөлімшесі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табиғатты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жүргізеді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өнеркәсіптік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сынауға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қарауға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бақылау-өлшеу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органдарының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куәландыруы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қазандықтарды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қысыммен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ыдыстарды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нұсқаулықтардың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Энергия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ережелері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Бекітілген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көрсеткіштер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есептілікті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56BF1" w:rsidRDefault="0044208B" w:rsidP="00A56B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Жеңіл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E30D44" w:rsidRPr="003F3FA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автокөліктің</w:t>
      </w:r>
      <w:proofErr w:type="spellEnd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жүргізушісі</w:t>
      </w:r>
      <w:proofErr w:type="spellEnd"/>
      <w:r w:rsidR="009D3403"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="009D3403"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E30D44" w:rsidRPr="0058172A" w:rsidTr="00E30D44">
        <w:trPr>
          <w:trHeight w:val="70"/>
        </w:trPr>
        <w:tc>
          <w:tcPr>
            <w:tcW w:w="2268" w:type="dxa"/>
          </w:tcPr>
          <w:p w:rsidR="00E30D44" w:rsidRPr="0014078E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E30D44" w:rsidRPr="0058172A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E30D44" w:rsidRPr="00FA4DC9" w:rsidTr="00E30D44">
        <w:trPr>
          <w:trHeight w:val="70"/>
        </w:trPr>
        <w:tc>
          <w:tcPr>
            <w:tcW w:w="2268" w:type="dxa"/>
          </w:tcPr>
          <w:p w:rsidR="00E30D44" w:rsidRPr="0079327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E30D44" w:rsidRPr="00FA4DC9" w:rsidRDefault="00E30D44" w:rsidP="00E30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агрегаттарының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процесінде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гараждарда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тұрақтарда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батареялар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автомобиль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қосу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тез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бұзылатын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ауа-райының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жол-көлік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оқиғаларының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Жеңіл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жүргізушісі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</w:p>
        </w:tc>
      </w:tr>
      <w:tr w:rsidR="00E30D44" w:rsidRPr="00FA4DC9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типтегі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Автокөліктерге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жанармай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жағармай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салқындатқыш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жай-күйін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шықпас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оны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автошаруашылыққа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оралғаннан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орынға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Автокөлікті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түсіруге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жүктің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автомобиль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шанағына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тиелуін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орналастырылуын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бекітілуін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бөлшектеуді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етпейтін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туындаған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ұсақ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құжаттарын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 w:rsidRPr="00FD7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A56BF1" w:rsidRDefault="0044208B" w:rsidP="00A56B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Тракторшы-1 </w:t>
      </w:r>
      <w:proofErr w:type="spellStart"/>
      <w:r w:rsidRPr="00A56BF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9D3403" w:rsidRPr="009D3403" w:rsidRDefault="009D3403" w:rsidP="009D34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E30D44" w:rsidRPr="0058172A" w:rsidTr="00E30D44">
        <w:trPr>
          <w:trHeight w:val="70"/>
        </w:trPr>
        <w:tc>
          <w:tcPr>
            <w:tcW w:w="2268" w:type="dxa"/>
          </w:tcPr>
          <w:p w:rsidR="00E30D44" w:rsidRPr="0014078E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E30D44" w:rsidRPr="0058172A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79327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E30D44" w:rsidRPr="00FA4DC9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құқығына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санатынан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жүрісі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арқандап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құрылғылармен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шекті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жүктемесін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лауазымдарда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30D44" w:rsidRPr="00E30D44" w:rsidTr="00E30D44">
        <w:trPr>
          <w:trHeight w:val="70"/>
        </w:trPr>
        <w:tc>
          <w:tcPr>
            <w:tcW w:w="2268" w:type="dxa"/>
          </w:tcPr>
          <w:p w:rsidR="00E30D44" w:rsidRPr="0044208B" w:rsidRDefault="00E30D44" w:rsidP="00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E30D44" w:rsidRPr="0044208B" w:rsidRDefault="00E30D44" w:rsidP="00E30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Сұйық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отынмен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қозғалтқыштың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25,7 кВт-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механизмдерді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еталл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салмақтағы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көлемдегі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құрылыстарды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Тасымалданатын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жүктердің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тиелуін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бекітілуін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түсірілуін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отынмен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тракторды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Трактор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жұмысындағы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Ағымдағы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трактор мен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тіркеме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жөндеудің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түрлеріне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Pr="00503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62D7E" w:rsidRDefault="00B62D7E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208B" w:rsidRPr="00BA1B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1A6EB4"/>
    <w:rsid w:val="001C6C2B"/>
    <w:rsid w:val="001E6EF9"/>
    <w:rsid w:val="00232877"/>
    <w:rsid w:val="0037061B"/>
    <w:rsid w:val="003F3FA4"/>
    <w:rsid w:val="00406749"/>
    <w:rsid w:val="0044208B"/>
    <w:rsid w:val="00496A55"/>
    <w:rsid w:val="005034B1"/>
    <w:rsid w:val="00531F71"/>
    <w:rsid w:val="0058172A"/>
    <w:rsid w:val="005929BD"/>
    <w:rsid w:val="0074535F"/>
    <w:rsid w:val="007735EE"/>
    <w:rsid w:val="00864D7F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A1BFD"/>
    <w:rsid w:val="00BB2A5E"/>
    <w:rsid w:val="00BD04A5"/>
    <w:rsid w:val="00D57804"/>
    <w:rsid w:val="00D67D56"/>
    <w:rsid w:val="00D776B6"/>
    <w:rsid w:val="00DA13B7"/>
    <w:rsid w:val="00DB0B0E"/>
    <w:rsid w:val="00E30D44"/>
    <w:rsid w:val="00E50933"/>
    <w:rsid w:val="00E777CE"/>
    <w:rsid w:val="00FA4DC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D105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9E5C-9DF6-4915-B03C-B7929FC5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4</cp:revision>
  <dcterms:created xsi:type="dcterms:W3CDTF">2023-11-28T11:10:00Z</dcterms:created>
  <dcterms:modified xsi:type="dcterms:W3CDTF">2023-11-30T10:00:00Z</dcterms:modified>
</cp:coreProperties>
</file>